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6C" w:rsidRDefault="003E7D6C" w:rsidP="003E7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E7D6C" w:rsidRDefault="003E7D6C" w:rsidP="003E7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3E7D6C" w:rsidRDefault="003E7D6C" w:rsidP="003E7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3E7D6C" w:rsidRDefault="003E7D6C" w:rsidP="003E7D6C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3E7D6C" w:rsidRDefault="003E7D6C" w:rsidP="003E7D6C">
      <w:pPr>
        <w:jc w:val="center"/>
        <w:rPr>
          <w:b/>
          <w:sz w:val="28"/>
          <w:szCs w:val="28"/>
        </w:rPr>
      </w:pPr>
    </w:p>
    <w:p w:rsidR="003E7D6C" w:rsidRDefault="003E7D6C" w:rsidP="003E7D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22.03.2021 г. № 132-04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Об утверждении Положения о порядке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выдвижения, внесения, обсуждения,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рассмотрения инициативных проектов,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а также проведения их конкурсного отбора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в Новопокровском муниципальном образовании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>
        <w:rPr>
          <w:rFonts w:cs="Mangal"/>
          <w:b/>
          <w:bCs/>
          <w:sz w:val="28"/>
          <w:szCs w:val="28"/>
        </w:rPr>
        <w:t>Балашовского</w:t>
      </w:r>
      <w:proofErr w:type="spellEnd"/>
      <w:r>
        <w:rPr>
          <w:rFonts w:cs="Mangal"/>
          <w:b/>
          <w:bCs/>
          <w:sz w:val="28"/>
          <w:szCs w:val="28"/>
        </w:rPr>
        <w:t xml:space="preserve"> муниципального района </w:t>
      </w:r>
    </w:p>
    <w:p w:rsidR="003E7D6C" w:rsidRDefault="003E7D6C" w:rsidP="003E7D6C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Саратовской области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2003 № 131-ФЗ               «Об общих принципах организации местного самоуправления в Российской Федерации»,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Положение о порядке выдвижения, внесения, обсуждения, рассмотрения инициативных проектов, а также проведения их конкурсного отбора в Новопокровском муниципальном образовании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 </w:t>
      </w:r>
      <w:proofErr w:type="gramStart"/>
      <w:r>
        <w:rPr>
          <w:bCs/>
          <w:sz w:val="28"/>
          <w:szCs w:val="28"/>
        </w:rPr>
        <w:t>прилагаемый</w:t>
      </w:r>
      <w:proofErr w:type="gramEnd"/>
      <w:r>
        <w:rPr>
          <w:bCs/>
          <w:sz w:val="28"/>
          <w:szCs w:val="28"/>
        </w:rPr>
        <w:t xml:space="preserve"> к настоящему решению.</w:t>
      </w:r>
    </w:p>
    <w:p w:rsidR="003E7D6C" w:rsidRDefault="003E7D6C" w:rsidP="003E7D6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Новопокровского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bCs/>
          <w:color w:val="000000" w:themeColor="text1"/>
          <w:sz w:val="28"/>
          <w:szCs w:val="28"/>
        </w:rPr>
        <w:t>А.Н. Титаренко</w:t>
      </w:r>
    </w:p>
    <w:p w:rsidR="003E7D6C" w:rsidRDefault="003E7D6C" w:rsidP="003E7D6C"/>
    <w:p w:rsidR="005B3F24" w:rsidRDefault="005B3F24"/>
    <w:p w:rsidR="003E7D6C" w:rsidRDefault="003E7D6C"/>
    <w:p w:rsidR="003E7D6C" w:rsidRDefault="003E7D6C"/>
    <w:p w:rsidR="003E7D6C" w:rsidRDefault="003E7D6C"/>
    <w:p w:rsidR="003E7D6C" w:rsidRDefault="003E7D6C"/>
    <w:p w:rsidR="003E7D6C" w:rsidRDefault="003E7D6C"/>
    <w:p w:rsidR="003E7D6C" w:rsidRDefault="003E7D6C"/>
    <w:p w:rsidR="003E7D6C" w:rsidRDefault="003E7D6C"/>
    <w:p w:rsidR="003E7D6C" w:rsidRDefault="003E7D6C"/>
    <w:p w:rsidR="003E7D6C" w:rsidRPr="003E7D6C" w:rsidRDefault="003E7D6C" w:rsidP="003E7D6C">
      <w:pPr>
        <w:overflowPunct w:val="0"/>
        <w:autoSpaceDE w:val="0"/>
        <w:autoSpaceDN w:val="0"/>
        <w:adjustRightInd w:val="0"/>
        <w:ind w:left="4678"/>
        <w:jc w:val="right"/>
        <w:rPr>
          <w:bCs/>
        </w:rPr>
      </w:pPr>
      <w:r w:rsidRPr="003E7D6C">
        <w:rPr>
          <w:bCs/>
        </w:rPr>
        <w:lastRenderedPageBreak/>
        <w:t>Приложение</w:t>
      </w:r>
    </w:p>
    <w:p w:rsidR="003E7D6C" w:rsidRPr="003E7D6C" w:rsidRDefault="003E7D6C" w:rsidP="003E7D6C">
      <w:pPr>
        <w:overflowPunct w:val="0"/>
        <w:autoSpaceDE w:val="0"/>
        <w:autoSpaceDN w:val="0"/>
        <w:adjustRightInd w:val="0"/>
        <w:ind w:left="4678"/>
        <w:jc w:val="right"/>
        <w:rPr>
          <w:bCs/>
        </w:rPr>
      </w:pPr>
      <w:r w:rsidRPr="003E7D6C">
        <w:rPr>
          <w:bCs/>
        </w:rPr>
        <w:t>к Решению Совета</w:t>
      </w:r>
    </w:p>
    <w:p w:rsidR="003E7D6C" w:rsidRPr="003E7D6C" w:rsidRDefault="003E7D6C" w:rsidP="003E7D6C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3E7D6C">
        <w:rPr>
          <w:bCs/>
          <w:color w:val="000000" w:themeColor="text1"/>
        </w:rPr>
        <w:t>Новопокровского</w:t>
      </w:r>
      <w:r>
        <w:rPr>
          <w:bCs/>
        </w:rPr>
        <w:t xml:space="preserve"> муниципального </w:t>
      </w:r>
      <w:r w:rsidRPr="003E7D6C">
        <w:rPr>
          <w:bCs/>
        </w:rPr>
        <w:t>образования</w:t>
      </w:r>
    </w:p>
    <w:p w:rsidR="003E7D6C" w:rsidRPr="003E7D6C" w:rsidRDefault="003E7D6C" w:rsidP="003E7D6C">
      <w:pPr>
        <w:overflowPunct w:val="0"/>
        <w:autoSpaceDE w:val="0"/>
        <w:autoSpaceDN w:val="0"/>
        <w:adjustRightInd w:val="0"/>
        <w:ind w:left="4678"/>
        <w:jc w:val="right"/>
        <w:rPr>
          <w:bCs/>
        </w:rPr>
      </w:pPr>
      <w:proofErr w:type="spellStart"/>
      <w:r w:rsidRPr="003E7D6C">
        <w:rPr>
          <w:bCs/>
        </w:rPr>
        <w:t>Балашовского</w:t>
      </w:r>
      <w:proofErr w:type="spellEnd"/>
      <w:r w:rsidRPr="003E7D6C">
        <w:rPr>
          <w:bCs/>
        </w:rPr>
        <w:t xml:space="preserve"> муниципального района</w:t>
      </w:r>
    </w:p>
    <w:p w:rsidR="003E7D6C" w:rsidRPr="003E7D6C" w:rsidRDefault="003E7D6C" w:rsidP="003E7D6C">
      <w:pPr>
        <w:overflowPunct w:val="0"/>
        <w:autoSpaceDE w:val="0"/>
        <w:autoSpaceDN w:val="0"/>
        <w:adjustRightInd w:val="0"/>
        <w:ind w:left="4678"/>
        <w:jc w:val="right"/>
        <w:rPr>
          <w:bCs/>
        </w:rPr>
      </w:pPr>
      <w:r w:rsidRPr="003E7D6C">
        <w:rPr>
          <w:bCs/>
        </w:rPr>
        <w:t>Саратовской области</w:t>
      </w:r>
    </w:p>
    <w:p w:rsidR="003E7D6C" w:rsidRPr="003E7D6C" w:rsidRDefault="003E7D6C" w:rsidP="003E7D6C">
      <w:pPr>
        <w:overflowPunct w:val="0"/>
        <w:autoSpaceDE w:val="0"/>
        <w:autoSpaceDN w:val="0"/>
        <w:adjustRightInd w:val="0"/>
        <w:ind w:left="4678"/>
        <w:jc w:val="right"/>
        <w:rPr>
          <w:bCs/>
        </w:rPr>
      </w:pPr>
      <w:r w:rsidRPr="003E7D6C">
        <w:rPr>
          <w:bCs/>
        </w:rPr>
        <w:t xml:space="preserve">от </w:t>
      </w:r>
      <w:r>
        <w:rPr>
          <w:bCs/>
        </w:rPr>
        <w:t xml:space="preserve">22.03.2021 </w:t>
      </w:r>
      <w:r w:rsidRPr="003E7D6C">
        <w:rPr>
          <w:bCs/>
        </w:rPr>
        <w:t xml:space="preserve"> № </w:t>
      </w:r>
      <w:r>
        <w:rPr>
          <w:bCs/>
        </w:rPr>
        <w:t>132-04</w:t>
      </w: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D6C" w:rsidRPr="00C26A3A" w:rsidRDefault="003E7D6C" w:rsidP="003E7D6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0" w:name="_Hlk68963844"/>
      <w:r w:rsidRPr="00C26A3A">
        <w:rPr>
          <w:b/>
          <w:color w:val="000000" w:themeColor="text1"/>
          <w:sz w:val="28"/>
          <w:szCs w:val="28"/>
        </w:rPr>
        <w:t>Положение</w:t>
      </w:r>
    </w:p>
    <w:p w:rsidR="003E7D6C" w:rsidRPr="00C26A3A" w:rsidRDefault="003E7D6C" w:rsidP="003E7D6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26A3A">
        <w:rPr>
          <w:b/>
          <w:color w:val="000000" w:themeColor="text1"/>
          <w:sz w:val="28"/>
          <w:szCs w:val="28"/>
        </w:rPr>
        <w:t>о порядке выдвижения, внесения, обсуждения, рассмотрения</w:t>
      </w:r>
    </w:p>
    <w:p w:rsidR="003E7D6C" w:rsidRPr="00C26A3A" w:rsidRDefault="003E7D6C" w:rsidP="003E7D6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26A3A">
        <w:rPr>
          <w:b/>
          <w:color w:val="000000" w:themeColor="text1"/>
          <w:sz w:val="28"/>
          <w:szCs w:val="28"/>
        </w:rPr>
        <w:t xml:space="preserve">инициативных проектов, а также проведения их конкурсного отбора </w:t>
      </w:r>
    </w:p>
    <w:p w:rsidR="003E7D6C" w:rsidRPr="00C26A3A" w:rsidRDefault="003E7D6C" w:rsidP="003E7D6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26A3A">
        <w:rPr>
          <w:b/>
          <w:color w:val="000000" w:themeColor="text1"/>
          <w:sz w:val="28"/>
          <w:szCs w:val="28"/>
        </w:rPr>
        <w:t>в Новопокровском муниципальном образовании</w:t>
      </w:r>
    </w:p>
    <w:p w:rsidR="003E7D6C" w:rsidRPr="00C26A3A" w:rsidRDefault="003E7D6C" w:rsidP="003E7D6C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26A3A">
        <w:rPr>
          <w:b/>
          <w:color w:val="000000" w:themeColor="text1"/>
          <w:sz w:val="28"/>
          <w:szCs w:val="28"/>
        </w:rPr>
        <w:t>Балашовского</w:t>
      </w:r>
      <w:proofErr w:type="spellEnd"/>
      <w:r w:rsidRPr="00C26A3A">
        <w:rPr>
          <w:b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bookmarkEnd w:id="0"/>
    </w:p>
    <w:p w:rsidR="003E7D6C" w:rsidRPr="00C26A3A" w:rsidRDefault="003E7D6C" w:rsidP="003E7D6C">
      <w:pPr>
        <w:overflowPunct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5A8D">
        <w:rPr>
          <w:sz w:val="28"/>
          <w:szCs w:val="28"/>
        </w:rPr>
        <w:t>1. Общие положения</w:t>
      </w:r>
    </w:p>
    <w:p w:rsidR="003E7D6C" w:rsidRPr="00035A8D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1.1. Настоящие Положение определяет порядок выдвижения, внесения, обсуждения,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рассмотрения инициативных проектов, а также проведения их конкурсного отбора для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реализации на территории</w:t>
      </w:r>
      <w:r>
        <w:rPr>
          <w:sz w:val="28"/>
          <w:szCs w:val="28"/>
        </w:rPr>
        <w:t xml:space="preserve"> </w:t>
      </w:r>
      <w:r w:rsidRPr="00C26A3A">
        <w:rPr>
          <w:color w:val="000000" w:themeColor="text1"/>
          <w:sz w:val="28"/>
          <w:szCs w:val="28"/>
        </w:rPr>
        <w:t xml:space="preserve">Новопокровского </w:t>
      </w:r>
      <w:r w:rsidRPr="00035A8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– МО, муниципальное образование)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1.2. Термины и понятия, используемые в настоящем Положении, по своему значению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соответствуют терминам и понятиям, используемым в Федеральном законе от 06.10.2003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Федерации».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1.3. Организатором конкурсного отбора инициативных проектов на территории</w:t>
      </w:r>
    </w:p>
    <w:p w:rsidR="003E7D6C" w:rsidRPr="00035A8D" w:rsidRDefault="003E7D6C" w:rsidP="003E7D6C">
      <w:pPr>
        <w:widowControl w:val="0"/>
        <w:tabs>
          <w:tab w:val="left" w:pos="195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26A3A">
        <w:rPr>
          <w:color w:val="000000" w:themeColor="text1"/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– администрация МО, администрация муниципального образования)</w:t>
      </w:r>
      <w:r w:rsidRPr="00035A8D">
        <w:rPr>
          <w:sz w:val="28"/>
          <w:szCs w:val="28"/>
        </w:rPr>
        <w:t>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Конкурсный отбор инициативных проектов осуществляется на собрании граждан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соответствии с настоящим Положением.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1.4. Материально-техническое, информационно-аналитическое и организационное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обеспечение конкурсного отбора инициативных проектов на территории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</w:t>
      </w:r>
      <w:r w:rsidRPr="00035A8D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1.5. Инициативным проектом является документально оформленное и внесенное в порядке,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установленном настоящим Положением, в </w:t>
      </w:r>
      <w:r>
        <w:rPr>
          <w:sz w:val="28"/>
          <w:szCs w:val="28"/>
        </w:rPr>
        <w:t>А</w:t>
      </w:r>
      <w:r w:rsidRPr="00035A8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предложение в целях реализации мероприятий, имеющих приоритетное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значение для жителей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или его части, по решению вопросов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значения или иных вопросов, право решения, которых предоставлено органам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самоуправления.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 xml:space="preserve">1.6. Инициативный проект реализуется за счет средств местного бюджета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, в том числе инициативных платежей – сре</w:t>
      </w:r>
      <w:proofErr w:type="gramStart"/>
      <w:r w:rsidRPr="00035A8D">
        <w:rPr>
          <w:sz w:val="28"/>
          <w:szCs w:val="28"/>
        </w:rPr>
        <w:t>дств гр</w:t>
      </w:r>
      <w:proofErr w:type="gramEnd"/>
      <w:r w:rsidRPr="00035A8D">
        <w:rPr>
          <w:sz w:val="28"/>
          <w:szCs w:val="28"/>
        </w:rPr>
        <w:t>аждан,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индивидуальных предпринимателей и образованных в соответствии с законодательством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Российской Федерации юридических лиц, уплачиваемых на добровольной основе 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зачисляемых в местный бюджет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 Бюджетным кодексом Российской Федерации.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lastRenderedPageBreak/>
        <w:t>1.7. Бюджетные ассигнования на реализацию инициативных проектов предусматриваются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E7D6C" w:rsidRPr="00035A8D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1.8. Объем бюджетных ассигнований на поддержку одного инициативного проекта из бюджета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наименование муниципального образования не должен превышать </w:t>
      </w:r>
      <w:r>
        <w:rPr>
          <w:sz w:val="28"/>
          <w:szCs w:val="28"/>
        </w:rPr>
        <w:t>100 000 (сто тысяч) рублей 00 (ноль) копеек.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Pr="00E36347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2. Выдвижение инициативных проектов</w:t>
      </w:r>
    </w:p>
    <w:p w:rsidR="003E7D6C" w:rsidRPr="00E36347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3E7D6C" w:rsidRDefault="003E7D6C" w:rsidP="003E7D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МО.</w:t>
      </w:r>
      <w:r w:rsidRPr="00E36347">
        <w:rPr>
          <w:sz w:val="28"/>
          <w:szCs w:val="28"/>
        </w:rPr>
        <w:t xml:space="preserve"> </w:t>
      </w:r>
    </w:p>
    <w:p w:rsidR="003E7D6C" w:rsidRDefault="003E7D6C" w:rsidP="003E7D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органы территориального общественного самоуправления муниципального образования наименование муниципального образования;</w:t>
      </w:r>
    </w:p>
    <w:p w:rsidR="003E7D6C" w:rsidRDefault="003E7D6C" w:rsidP="003E7D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староста сельского населенного пункта наименование муниципального образования (далее также – </w:t>
      </w:r>
      <w:r>
        <w:rPr>
          <w:sz w:val="28"/>
          <w:szCs w:val="28"/>
        </w:rPr>
        <w:t>И</w:t>
      </w:r>
      <w:r w:rsidRPr="00E36347">
        <w:rPr>
          <w:sz w:val="28"/>
          <w:szCs w:val="28"/>
        </w:rPr>
        <w:t>нициаторы проекта).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2.2. Инициативный проект должен содержать следующие сведения: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МО</w:t>
      </w:r>
      <w:r w:rsidRPr="00E36347">
        <w:rPr>
          <w:sz w:val="28"/>
          <w:szCs w:val="28"/>
        </w:rPr>
        <w:t xml:space="preserve"> или его части;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обоснование предложений по решению указанной проблемы;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планируемые сроки реализации инициативного проекта; 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E7D6C" w:rsidRDefault="003E7D6C" w:rsidP="003E7D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2.3. </w:t>
      </w:r>
      <w:proofErr w:type="gramStart"/>
      <w:r w:rsidRPr="00E36347">
        <w:rPr>
          <w:sz w:val="28"/>
          <w:szCs w:val="28"/>
        </w:rPr>
        <w:t>Инициативный проект до его внесения в администрацию</w:t>
      </w:r>
      <w:r>
        <w:rPr>
          <w:sz w:val="28"/>
          <w:szCs w:val="28"/>
        </w:rPr>
        <w:t xml:space="preserve"> МО</w:t>
      </w:r>
      <w:r w:rsidRPr="00E36347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sz w:val="28"/>
          <w:szCs w:val="28"/>
        </w:rPr>
        <w:t>30 граждан</w:t>
      </w:r>
      <w:r w:rsidRPr="00E36347">
        <w:rPr>
          <w:sz w:val="28"/>
          <w:szCs w:val="28"/>
        </w:rPr>
        <w:t>.</w:t>
      </w:r>
      <w:proofErr w:type="gramEnd"/>
      <w:r w:rsidRPr="00E36347">
        <w:rPr>
          <w:sz w:val="28"/>
          <w:szCs w:val="28"/>
        </w:rPr>
        <w:t xml:space="preserve"> При этом возможно рассмотрение нескольких инициативных проектов на </w:t>
      </w:r>
      <w:r w:rsidRPr="00E36347">
        <w:rPr>
          <w:sz w:val="28"/>
          <w:szCs w:val="28"/>
        </w:rPr>
        <w:lastRenderedPageBreak/>
        <w:t xml:space="preserve">одном собрании граждан. 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4442A8">
        <w:rPr>
          <w:sz w:val="28"/>
          <w:szCs w:val="28"/>
        </w:rPr>
        <w:t>озможно выявлени</w:t>
      </w:r>
      <w:r>
        <w:rPr>
          <w:sz w:val="28"/>
          <w:szCs w:val="28"/>
        </w:rPr>
        <w:t>е</w:t>
      </w:r>
      <w:r w:rsidRPr="004442A8">
        <w:rPr>
          <w:sz w:val="28"/>
          <w:szCs w:val="28"/>
        </w:rPr>
        <w:t xml:space="preserve"> мнения граждан по вопросу о поддержке инициативного проекта также путем опроса граждан</w:t>
      </w:r>
      <w:r>
        <w:rPr>
          <w:sz w:val="28"/>
          <w:szCs w:val="28"/>
        </w:rPr>
        <w:t xml:space="preserve">, сбора их подписей в порядке, установленном Решением Совета </w:t>
      </w:r>
      <w:r w:rsidRPr="00C26A3A">
        <w:rPr>
          <w:color w:val="000000" w:themeColor="text1"/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</w:t>
      </w:r>
      <w:r>
        <w:rPr>
          <w:sz w:val="28"/>
          <w:szCs w:val="28"/>
        </w:rPr>
        <w:t xml:space="preserve"> опроса,</w:t>
      </w:r>
      <w:r w:rsidRPr="00E36347">
        <w:rPr>
          <w:sz w:val="28"/>
          <w:szCs w:val="28"/>
        </w:rPr>
        <w:t xml:space="preserve">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E7D6C" w:rsidRPr="00E36347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3. Обсуждение и рассмотрение инициативных проектов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с инициаторами проекта также после внесения инициативных проектов.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4. Внесение инициативных проектов в администрацию</w:t>
      </w:r>
      <w:r>
        <w:rPr>
          <w:sz w:val="28"/>
          <w:szCs w:val="28"/>
        </w:rPr>
        <w:t xml:space="preserve"> МО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4.1. Для проведения конкурсного отбора инициативных проектов администрацией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 xml:space="preserve"> устанавливаются даты и время приема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инициативных проектов.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Данная информация, а также информация о сроках проведения конкурсного отбора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размещаются на официальном сайте органов местного самоуправления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прикладывают к нему документы в соответствии с п. 2.3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настоящего Положения, подтверждающие поддержку инициативного проекта жителями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муниципального образования или его части.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4.3. Администрация муниципального образования на основании проведенного технического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анализа, принимает решение о поддержке </w:t>
      </w:r>
      <w:r w:rsidRPr="00AE1309">
        <w:rPr>
          <w:sz w:val="28"/>
          <w:szCs w:val="28"/>
        </w:rPr>
        <w:lastRenderedPageBreak/>
        <w:t>инициативного проекта и продолжении работы над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ним в пределах бюджетных ассигнований, предусмотренных решением о местном бюджете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 соответствующие цели и (или) в соответствии с порядком составления и рассмотрения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проекта местного бюджета (внесение изменений о в </w:t>
      </w:r>
      <w:proofErr w:type="gramStart"/>
      <w:r w:rsidRPr="00AE1309">
        <w:rPr>
          <w:sz w:val="28"/>
          <w:szCs w:val="28"/>
        </w:rPr>
        <w:t>решение</w:t>
      </w:r>
      <w:proofErr w:type="gramEnd"/>
      <w:r w:rsidRPr="00AE1309">
        <w:rPr>
          <w:sz w:val="28"/>
          <w:szCs w:val="28"/>
        </w:rPr>
        <w:t xml:space="preserve"> о местном бюджете), или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решение об отказе в поддержке инициативного проекта и о возврате его инициаторам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с указанием причин отказа в соответствии с пунктом 4.4. настоящего Положения.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4.4. Администрация муниципального образования принимает решение об отказе в поддержке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 в одном из следующих случаев:</w:t>
      </w:r>
    </w:p>
    <w:p w:rsidR="003E7D6C" w:rsidRPr="00AE1309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несоблюдение установленного </w:t>
      </w:r>
      <w:proofErr w:type="spellStart"/>
      <w:r w:rsidRPr="00AE1309">
        <w:rPr>
          <w:sz w:val="28"/>
          <w:szCs w:val="28"/>
        </w:rPr>
        <w:t>пп</w:t>
      </w:r>
      <w:proofErr w:type="spellEnd"/>
      <w:r w:rsidRPr="00AE1309">
        <w:rPr>
          <w:sz w:val="28"/>
          <w:szCs w:val="28"/>
        </w:rPr>
        <w:t>. 2.1 - 2.3, 3.1, 4.2 настоящего Положения порядка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выдвижения, обсуждения, внесения инициативного проекта и его рассмотрения;</w:t>
      </w:r>
    </w:p>
    <w:p w:rsidR="003E7D6C" w:rsidRPr="00AE1309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несоответствие инициативного проекта требованиям федеральных законов и иных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нормативных правовых актов Российской Федерации, законов и иных нормативных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правовых актов наименование субъекта РФ, уставу и нормативным правовым актам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;</w:t>
      </w:r>
    </w:p>
    <w:p w:rsidR="003E7D6C" w:rsidRPr="00AE1309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невозможность реализации инициативного проекта ввиду отсутствия у муниципального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образования наименование муниципального образования необходимых полномочий 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прав;</w:t>
      </w:r>
    </w:p>
    <w:p w:rsidR="003E7D6C" w:rsidRPr="00AE1309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отсутствие средств местного бюджета в объеме, необходимом для реализации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проекта, источником формирования которых не являются инициативные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платежи;</w:t>
      </w:r>
    </w:p>
    <w:p w:rsidR="003E7D6C" w:rsidRPr="00AE1309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наличие возможности решения описанной в инициативном проекте проблемы более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эффективным способом;</w:t>
      </w:r>
    </w:p>
    <w:p w:rsidR="003E7D6C" w:rsidRDefault="003E7D6C" w:rsidP="003E7D6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признание инициативного проекта не прошедшим конкурсный отбор.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12BA">
        <w:rPr>
          <w:sz w:val="28"/>
          <w:szCs w:val="28"/>
        </w:rPr>
        <w:t>Информация о внесении инициативного проекта в администрацию</w:t>
      </w:r>
      <w:r>
        <w:rPr>
          <w:sz w:val="28"/>
          <w:szCs w:val="28"/>
        </w:rPr>
        <w:t xml:space="preserve"> МО</w:t>
      </w:r>
      <w:r w:rsidRPr="002F12BA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</w:t>
      </w:r>
      <w:r>
        <w:rPr>
          <w:sz w:val="28"/>
          <w:szCs w:val="28"/>
        </w:rPr>
        <w:t xml:space="preserve"> п. 2.2. настоящего Положения</w:t>
      </w:r>
      <w:r w:rsidRPr="002F12BA">
        <w:rPr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8"/>
          <w:szCs w:val="28"/>
        </w:rPr>
        <w:t xml:space="preserve">МО </w:t>
      </w:r>
      <w:r w:rsidRPr="002F12BA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F0B1B">
        <w:rPr>
          <w:sz w:val="28"/>
          <w:szCs w:val="28"/>
        </w:rPr>
        <w:t>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МО</w:t>
      </w:r>
      <w:r w:rsidRPr="009F0B1B">
        <w:rPr>
          <w:sz w:val="28"/>
          <w:szCs w:val="28"/>
        </w:rPr>
        <w:t xml:space="preserve"> в течение 30 дней со дня его внесения.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5. Проведение собрания граждан по конкурсному отбору инициативных проектов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lastRenderedPageBreak/>
        <w:t>5.1. Собрание граждан по конкурсному отбору инициативных проектов проводится в месте,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определенном администрацией муниципального образования.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5.3. В голосовании по инициативным проектам вправе принимать участие жители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, достигшие шестнадцатилетнего возраста.</w:t>
      </w:r>
    </w:p>
    <w:p w:rsidR="003E7D6C" w:rsidRPr="00AE1309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Житель наименование муниципального образования имеет право проголосовать за </w:t>
      </w:r>
      <w:r>
        <w:rPr>
          <w:sz w:val="28"/>
          <w:szCs w:val="28"/>
        </w:rPr>
        <w:t xml:space="preserve">неограниченное </w:t>
      </w:r>
      <w:r w:rsidRPr="00AE1309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5.4. Результаты голосования по инициативным проектам утверждаются конкурсной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комиссией при принятии итогового решения.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42A8">
        <w:rPr>
          <w:sz w:val="28"/>
          <w:szCs w:val="28"/>
        </w:rPr>
        <w:t>6. Утверждение инициативных проектов в целях их реализации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6.2. Персональный состав конкурсной комиссии утверждается администрацией муниципального образования.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В состав конкурсной комиссии администрации муниципального образования могут быть включены представители общественных организаций по согласованию. 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6.5. Председатель конкурсной комиссии:</w:t>
      </w:r>
    </w:p>
    <w:p w:rsidR="003E7D6C" w:rsidRPr="004442A8" w:rsidRDefault="003E7D6C" w:rsidP="003E7D6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организует работу конкурсной комиссии, руководит деятельностью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E7D6C" w:rsidRPr="004442A8" w:rsidRDefault="003E7D6C" w:rsidP="003E7D6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3E7D6C" w:rsidRPr="004442A8" w:rsidRDefault="003E7D6C" w:rsidP="003E7D6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дает поручения членам конкурсной комиссии в рамках заседания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E7D6C" w:rsidRDefault="003E7D6C" w:rsidP="003E7D6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председательствует на заседаниях конкурсной комиссии.</w:t>
      </w:r>
    </w:p>
    <w:p w:rsidR="003E7D6C" w:rsidRPr="004442A8" w:rsidRDefault="003E7D6C" w:rsidP="003E7D6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lastRenderedPageBreak/>
        <w:t>При отсутствии председателя конкурсной комиссии его полномочия исполняет заместитель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председателя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6.6. Секретарь конкурсной комиссии:</w:t>
      </w:r>
    </w:p>
    <w:p w:rsidR="003E7D6C" w:rsidRPr="004442A8" w:rsidRDefault="003E7D6C" w:rsidP="003E7D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осуществляет информационное и документационное обеспечение деятельности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комиссии, в том числе подготовку к заседанию конкурсной комиссии;</w:t>
      </w:r>
    </w:p>
    <w:p w:rsidR="003E7D6C" w:rsidRPr="004442A8" w:rsidRDefault="003E7D6C" w:rsidP="003E7D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оповещает членов конкурсной комиссии о дате, месте проведения очередного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заседания конкурсной комиссии и повестке очередного заседания конкурсной комиссии;</w:t>
      </w:r>
    </w:p>
    <w:p w:rsidR="003E7D6C" w:rsidRPr="004442A8" w:rsidRDefault="003E7D6C" w:rsidP="003E7D6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оформляет протоколы заседаний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6.7. Член конкурсной комиссии:</w:t>
      </w:r>
    </w:p>
    <w:p w:rsidR="003E7D6C" w:rsidRPr="004442A8" w:rsidRDefault="003E7D6C" w:rsidP="003E7D6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участвует в работе конкурсной комиссии, в том числе в заседаниях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E7D6C" w:rsidRPr="004442A8" w:rsidRDefault="003E7D6C" w:rsidP="003E7D6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вносит предложения по вопросам работы конкурсной комиссии;</w:t>
      </w:r>
    </w:p>
    <w:p w:rsidR="003E7D6C" w:rsidRPr="004442A8" w:rsidRDefault="003E7D6C" w:rsidP="003E7D6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знакомится с документами и материалами, рассматриваемыми на заседаниях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E7D6C" w:rsidRPr="004442A8" w:rsidRDefault="003E7D6C" w:rsidP="003E7D6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голосует на заседаниях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6.8. Решение конкурсной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большинством голосов от числа присутствующих на заседании членов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Члены конкурсной комиссии обладают равными правами при обсуждении вопросов 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принятии решений.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6.9. Заседание конкурсной комиссии проводится в течение трех рабочих дней после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проведения собрания граждан.</w:t>
      </w:r>
    </w:p>
    <w:p w:rsidR="003E7D6C" w:rsidRPr="004442A8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3E7D6C" w:rsidRPr="004442A8" w:rsidRDefault="003E7D6C" w:rsidP="003E7D6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время, дату и место проведения заседания конкурсной комиссии;</w:t>
      </w:r>
    </w:p>
    <w:p w:rsidR="003E7D6C" w:rsidRDefault="003E7D6C" w:rsidP="003E7D6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фамилии и инициалы членов конкурсной комиссии и приглашенных на заседание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E7D6C" w:rsidRDefault="003E7D6C" w:rsidP="003E7D6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 - инициативные проекты, прошедшие конкурсный отбор и подлежащие финансированию из местного бюджета.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6.11. </w:t>
      </w:r>
      <w:proofErr w:type="gramStart"/>
      <w:r w:rsidRPr="002F12BA">
        <w:rPr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</w:t>
      </w:r>
      <w:r w:rsidRPr="002F12BA">
        <w:rPr>
          <w:sz w:val="28"/>
          <w:szCs w:val="28"/>
        </w:rPr>
        <w:lastRenderedPageBreak/>
        <w:t>плановый период), на реализацию инициативных проектов.</w:t>
      </w:r>
      <w:proofErr w:type="gramEnd"/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12BA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3E7D6C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3E7D6C" w:rsidRPr="00E36347" w:rsidRDefault="003E7D6C" w:rsidP="003E7D6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2F12BA">
        <w:rPr>
          <w:sz w:val="28"/>
          <w:szCs w:val="28"/>
        </w:rPr>
        <w:t xml:space="preserve"> Отчет о ходе и итогах реализации инициативного проекта подлежит опубликованию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(обнародованию)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30 календарных дней со дня завершения реализации инициативного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проекта.</w:t>
      </w:r>
    </w:p>
    <w:p w:rsidR="003E7D6C" w:rsidRDefault="003E7D6C" w:rsidP="00C26A3A">
      <w:pPr>
        <w:spacing w:after="200" w:line="276" w:lineRule="auto"/>
      </w:pPr>
    </w:p>
    <w:sectPr w:rsidR="003E7D6C" w:rsidSect="005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D6C"/>
    <w:rsid w:val="003E7D6C"/>
    <w:rsid w:val="005B3F24"/>
    <w:rsid w:val="00C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2431</Words>
  <Characters>13859</Characters>
  <Application>Microsoft Office Word</Application>
  <DocSecurity>0</DocSecurity>
  <Lines>115</Lines>
  <Paragraphs>32</Paragraphs>
  <ScaleCrop>false</ScaleCrop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2021-06-16T11:41:00Z</dcterms:created>
  <dcterms:modified xsi:type="dcterms:W3CDTF">2021-06-16T11:48:00Z</dcterms:modified>
</cp:coreProperties>
</file>