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D2" w:rsidRDefault="00414AD2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14AD2">
        <w:rPr>
          <w:b/>
          <w:sz w:val="28"/>
          <w:szCs w:val="28"/>
        </w:rPr>
        <w:t>-----</w:t>
      </w:r>
      <w:r>
        <w:rPr>
          <w:b/>
          <w:sz w:val="28"/>
          <w:szCs w:val="28"/>
        </w:rPr>
        <w:t xml:space="preserve"> от </w:t>
      </w:r>
      <w:r w:rsidR="00414AD2">
        <w:rPr>
          <w:b/>
          <w:sz w:val="28"/>
          <w:szCs w:val="28"/>
        </w:rPr>
        <w:t xml:space="preserve"> -----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                                           </w:t>
      </w:r>
      <w:r w:rsidR="00414AD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</w:t>
      </w:r>
      <w:proofErr w:type="gramEnd"/>
      <w:r>
        <w:rPr>
          <w:sz w:val="28"/>
          <w:szCs w:val="28"/>
        </w:rPr>
        <w:t xml:space="preserve"> июня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Контрактному управляющему администрации Соцземледельского муниципального образования Балашовского муниципального района 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1C4594">
        <w:rPr>
          <w:bCs/>
          <w:sz w:val="28"/>
          <w:szCs w:val="28"/>
        </w:rPr>
        <w:t xml:space="preserve"> района Саратовской области № 54-р от 11.12.2019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637CA5">
        <w:t xml:space="preserve"> от  </w:t>
      </w:r>
      <w:r w:rsidR="001C4594">
        <w:t xml:space="preserve">  </w:t>
      </w:r>
      <w:r w:rsidR="00637CA5">
        <w:t xml:space="preserve"> г. № </w:t>
      </w:r>
      <w:r w:rsidR="008403EA">
        <w:t xml:space="preserve">   </w:t>
      </w:r>
      <w:r w:rsidR="00637CA5">
        <w:t xml:space="preserve"> </w:t>
      </w:r>
      <w:r w:rsidR="007D4E0E">
        <w:t xml:space="preserve"> </w:t>
      </w:r>
      <w:proofErr w:type="gramStart"/>
      <w:r w:rsidR="00A04E2A">
        <w:t>-</w:t>
      </w:r>
      <w:r w:rsidR="00BC5A96">
        <w:t>р</w:t>
      </w:r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 w:rsidR="00F70D05">
        <w:rPr>
          <w:b/>
          <w:sz w:val="28"/>
          <w:szCs w:val="28"/>
        </w:rPr>
        <w:t>муниципального</w:t>
      </w:r>
      <w:proofErr w:type="gramEnd"/>
      <w:r w:rsidR="00F70D05">
        <w:rPr>
          <w:b/>
          <w:sz w:val="28"/>
          <w:szCs w:val="28"/>
        </w:rPr>
        <w:t xml:space="preserve">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1C4594">
        <w:t xml:space="preserve">     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637CA5">
        <w:t xml:space="preserve"> </w:t>
      </w:r>
      <w:proofErr w:type="gramStart"/>
      <w:r>
        <w:t>-р</w:t>
      </w:r>
      <w:proofErr w:type="gram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37CA5" w:rsidRDefault="00852129" w:rsidP="00637CA5">
            <w:pPr>
              <w:pStyle w:val="a8"/>
              <w:numPr>
                <w:ilvl w:val="0"/>
                <w:numId w:val="17"/>
              </w:numPr>
              <w:jc w:val="center"/>
            </w:pPr>
            <w:r w:rsidRPr="00637CA5">
              <w:t>000,00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129" w:rsidRPr="00F546E3" w:rsidRDefault="00852129" w:rsidP="00852129">
      <w:pPr>
        <w:spacing w:before="120" w:after="120"/>
        <w:jc w:val="both"/>
      </w:pP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Pr="00FA43FC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10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63"/>
    <w:rsid w:val="009E642F"/>
    <w:rsid w:val="00A04E2A"/>
    <w:rsid w:val="00A07280"/>
    <w:rsid w:val="00A14705"/>
    <w:rsid w:val="00A32163"/>
    <w:rsid w:val="00A65E3E"/>
    <w:rsid w:val="00A80E47"/>
    <w:rsid w:val="00A838CB"/>
    <w:rsid w:val="00A9578B"/>
    <w:rsid w:val="00AB05C5"/>
    <w:rsid w:val="00AB6BE8"/>
    <w:rsid w:val="00AC644B"/>
    <w:rsid w:val="00AE6C4A"/>
    <w:rsid w:val="00B125D0"/>
    <w:rsid w:val="00B53ABD"/>
    <w:rsid w:val="00B91D52"/>
    <w:rsid w:val="00B96416"/>
    <w:rsid w:val="00BB4375"/>
    <w:rsid w:val="00BB676B"/>
    <w:rsid w:val="00BC422E"/>
    <w:rsid w:val="00BC485F"/>
    <w:rsid w:val="00BC5A96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C581D"/>
    <w:rsid w:val="00CF4CB6"/>
    <w:rsid w:val="00DA5E3B"/>
    <w:rsid w:val="00DB5CFD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77AC-FE7C-4036-969E-8DBC3CDF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</cp:lastModifiedBy>
  <cp:revision>22</cp:revision>
  <cp:lastPrinted>2019-12-10T05:12:00Z</cp:lastPrinted>
  <dcterms:created xsi:type="dcterms:W3CDTF">2016-10-19T06:59:00Z</dcterms:created>
  <dcterms:modified xsi:type="dcterms:W3CDTF">2020-12-09T05:44:00Z</dcterms:modified>
</cp:coreProperties>
</file>