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6" w:rsidRPr="00EA10B0" w:rsidRDefault="004C7E16" w:rsidP="004C7E16">
      <w:pPr>
        <w:pStyle w:val="a3"/>
      </w:pPr>
      <w:r w:rsidRPr="00EA10B0">
        <w:t xml:space="preserve">Отчет об оценке эффективности </w:t>
      </w:r>
    </w:p>
    <w:p w:rsidR="004C7E16" w:rsidRPr="00EA10B0" w:rsidRDefault="004C7E16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налоговых льгот (налоговых расходов) </w:t>
      </w:r>
    </w:p>
    <w:p w:rsidR="004C7E16" w:rsidRPr="00EA10B0" w:rsidRDefault="00585B9B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Терновского</w:t>
      </w:r>
      <w:r w:rsidR="00E52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 образования  </w:t>
      </w:r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за 2019 год.</w:t>
      </w:r>
    </w:p>
    <w:p w:rsidR="004C7E16" w:rsidRDefault="004C7E16" w:rsidP="004C7E16">
      <w:pPr>
        <w:pStyle w:val="a3"/>
      </w:pPr>
    </w:p>
    <w:p w:rsidR="004C7E16" w:rsidRPr="00EA10B0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за 2019 год проведена в соответствии с постановлением Администрации </w:t>
      </w:r>
      <w:r w:rsidR="00585B9B">
        <w:rPr>
          <w:rFonts w:ascii="Times New Roman" w:hAnsi="Times New Roman" w:cs="Times New Roman"/>
          <w:color w:val="000000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</w:t>
      </w:r>
      <w:r w:rsidR="008A2F19">
        <w:rPr>
          <w:rFonts w:ascii="Times New Roman" w:hAnsi="Times New Roman" w:cs="Times New Roman"/>
          <w:sz w:val="24"/>
          <w:szCs w:val="24"/>
        </w:rPr>
        <w:t xml:space="preserve">  от 27.06.2019 года № 16</w:t>
      </w:r>
      <w:r w:rsidRPr="00EA10B0">
        <w:rPr>
          <w:rFonts w:ascii="Times New Roman" w:hAnsi="Times New Roman" w:cs="Times New Roman"/>
          <w:sz w:val="24"/>
          <w:szCs w:val="24"/>
        </w:rPr>
        <w:t>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оценки эффективности налоговых льгот (налоговых расходов) 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</w:t>
      </w:r>
      <w:r w:rsidR="00585B9B">
        <w:rPr>
          <w:rFonts w:ascii="Times New Roman" w:hAnsi="Times New Roman" w:cs="Times New Roman"/>
          <w:bCs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</w:t>
      </w:r>
      <w:r w:rsidRPr="00EA10B0">
        <w:rPr>
          <w:rFonts w:ascii="Times New Roman" w:hAnsi="Times New Roman" w:cs="Times New Roman"/>
          <w:sz w:val="24"/>
          <w:szCs w:val="24"/>
        </w:rPr>
        <w:t xml:space="preserve"> проводится оценка налоговых льгот.</w:t>
      </w: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Для проведения оценки эффективности налоговых расходов </w:t>
      </w:r>
      <w:r w:rsidR="00585B9B">
        <w:t>Терновского</w:t>
      </w:r>
      <w:r w:rsidRPr="00EA10B0">
        <w:t xml:space="preserve"> муниципального образования   использовались данные, предоставленные МРИ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2019 году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Решением Совета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="00E529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="00837CDC">
        <w:rPr>
          <w:rFonts w:ascii="Times New Roman" w:hAnsi="Times New Roman" w:cs="Times New Roman"/>
          <w:sz w:val="24"/>
          <w:szCs w:val="24"/>
        </w:rPr>
        <w:t>от 07</w:t>
      </w:r>
      <w:r w:rsidRPr="00E52907">
        <w:rPr>
          <w:rFonts w:ascii="Times New Roman" w:hAnsi="Times New Roman" w:cs="Times New Roman"/>
          <w:sz w:val="24"/>
          <w:szCs w:val="24"/>
        </w:rPr>
        <w:t xml:space="preserve">.11.2017 года № </w:t>
      </w:r>
      <w:r w:rsidR="00837CDC">
        <w:rPr>
          <w:rFonts w:ascii="Times New Roman" w:hAnsi="Times New Roman" w:cs="Times New Roman"/>
          <w:sz w:val="24"/>
          <w:szCs w:val="24"/>
        </w:rPr>
        <w:t>24/1</w:t>
      </w:r>
      <w:r w:rsidRPr="00E52907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«Об установлении налога на имущество физических лиц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A45CBC" w:rsidRPr="00EA10B0" w:rsidRDefault="00A45CBC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</w:t>
      </w:r>
      <w:r w:rsidR="00837CDC">
        <w:rPr>
          <w:rFonts w:ascii="Times New Roman" w:hAnsi="Times New Roman" w:cs="Times New Roman"/>
          <w:sz w:val="24"/>
          <w:szCs w:val="24"/>
        </w:rPr>
        <w:t>иципального образования от 13.11.2012 года № 14/3</w:t>
      </w:r>
      <w:r w:rsidR="00E52907">
        <w:rPr>
          <w:rFonts w:ascii="Times New Roman" w:hAnsi="Times New Roman" w:cs="Times New Roman"/>
          <w:sz w:val="24"/>
          <w:szCs w:val="24"/>
        </w:rPr>
        <w:t xml:space="preserve"> «О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земельном налоге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="00E529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A10B0">
        <w:rPr>
          <w:rFonts w:ascii="Times New Roman" w:hAnsi="Times New Roman" w:cs="Times New Roman"/>
          <w:sz w:val="24"/>
          <w:szCs w:val="24"/>
        </w:rPr>
        <w:t>образования» установлены льготы по земельному налогу:</w:t>
      </w:r>
    </w:p>
    <w:p w:rsidR="00F50191" w:rsidRPr="00EA10B0" w:rsidRDefault="00F50191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 Освобождены от уплаты земельного налога: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F50191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ветераны Великой Отечественной войны определенных п. 1 ст. 2 Федерального закона от 12.01.1995 г. № 5 «О ветеранах», ветераны боевых действий, инвалиды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многодетные семьи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</w:p>
    <w:p w:rsidR="00837CDC" w:rsidRDefault="00837CDC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-участники ликвидаций радиационных аварий и катастроф;</w:t>
      </w:r>
    </w:p>
    <w:p w:rsidR="00837CDC" w:rsidRPr="00EA10B0" w:rsidRDefault="00837CDC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-некоммерческие садоводческие, огороднические и дачные объединения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-инвесторов, осуществляющих в рамках реализации инвестиционного проекта капитальные вложения в расположенные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A10B0">
        <w:rPr>
          <w:rFonts w:ascii="Times New Roman" w:hAnsi="Times New Roman" w:cs="Times New Roman"/>
          <w:sz w:val="24"/>
          <w:szCs w:val="24"/>
        </w:rPr>
        <w:lastRenderedPageBreak/>
        <w:t xml:space="preserve">Балашовского района Саратовской области основные средства, в соответствии с приоритетными направлениями развития экономики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Балашовского района в размере не менее </w:t>
      </w:r>
      <w:r w:rsidRPr="008314BA">
        <w:rPr>
          <w:rFonts w:ascii="Times New Roman" w:hAnsi="Times New Roman" w:cs="Times New Roman"/>
          <w:color w:val="C00000"/>
          <w:sz w:val="24"/>
          <w:szCs w:val="24"/>
        </w:rPr>
        <w:t>400,0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млн. руб,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F50191" w:rsidRPr="00EA10B0" w:rsidRDefault="00F50191" w:rsidP="00BA4FA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:rsidR="00F50191" w:rsidRPr="00EA10B0" w:rsidRDefault="00F50191" w:rsidP="00F501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- в размере 100% освобождения от суммы налога налогоплательщикам: ветеранам Великой Отечественной войны определенных п. 1 ст. 2 Федерального закона от 12.01.1995 г. № 5 «О ветеранах», ветеранам боевых действий, инвалидам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многодетным семьям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</w:p>
    <w:p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BA4FA1" w:rsidRPr="00EA10B0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освобождения от суммы налога налогоплательщикам  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4C0D75" w:rsidRPr="004C0D75" w:rsidRDefault="00BA4FA1" w:rsidP="00A1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учреждения органов местного самоуправления, финансируемые за счет средств бюджета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  <w:r w:rsidR="004C0D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4C0D75">
        <w:rPr>
          <w:rFonts w:ascii="Times New Roman" w:hAnsi="Times New Roman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BA4FA1" w:rsidRPr="00EA10B0" w:rsidRDefault="00BA4FA1" w:rsidP="00BA4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 инвесторов, осуществляющих в рамках реализации инвестиционного проекта капитальные вложения в расположенные на территории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Балашовского района Саратовской области основные средства, в соответствии с приоритетными направлениями развития экономики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Балашовского района в размере не менее </w:t>
      </w:r>
      <w:r w:rsidRPr="00E71452">
        <w:rPr>
          <w:rFonts w:ascii="Times New Roman" w:hAnsi="Times New Roman" w:cs="Times New Roman"/>
          <w:color w:val="C00000"/>
          <w:sz w:val="24"/>
          <w:szCs w:val="24"/>
        </w:rPr>
        <w:t>400,0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млн. руб,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="00585B9B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A14583" w:rsidRPr="00BE7C06" w:rsidRDefault="00A14583" w:rsidP="00A1458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6DC3">
        <w:rPr>
          <w:rFonts w:ascii="Times New Roman" w:hAnsi="Times New Roman" w:cs="Times New Roman"/>
          <w:b/>
          <w:sz w:val="24"/>
          <w:szCs w:val="24"/>
        </w:rPr>
        <w:t>Льгота по н</w:t>
      </w:r>
      <w:r w:rsidRPr="00A14583">
        <w:rPr>
          <w:rFonts w:ascii="Times New Roman" w:hAnsi="Times New Roman" w:cs="Times New Roman"/>
          <w:b/>
          <w:sz w:val="24"/>
          <w:szCs w:val="24"/>
        </w:rPr>
        <w:t>алог</w:t>
      </w:r>
      <w:r w:rsidR="004C6DC3">
        <w:rPr>
          <w:rFonts w:ascii="Times New Roman" w:hAnsi="Times New Roman" w:cs="Times New Roman"/>
          <w:b/>
          <w:sz w:val="24"/>
          <w:szCs w:val="24"/>
        </w:rPr>
        <w:t>у</w:t>
      </w:r>
      <w:r w:rsidRPr="00A14583">
        <w:rPr>
          <w:rFonts w:ascii="Times New Roman" w:hAnsi="Times New Roman" w:cs="Times New Roman"/>
          <w:b/>
          <w:sz w:val="24"/>
          <w:szCs w:val="24"/>
        </w:rPr>
        <w:t xml:space="preserve"> на имущество физических лиц (тыс. руб.)</w:t>
      </w:r>
      <w:r w:rsidR="00BE7C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E7C06" w:rsidRPr="00BE7C06">
        <w:rPr>
          <w:rFonts w:ascii="Times New Roman" w:hAnsi="Times New Roman" w:cs="Times New Roman"/>
          <w:sz w:val="24"/>
          <w:szCs w:val="24"/>
        </w:rPr>
        <w:t>таб.1</w:t>
      </w:r>
    </w:p>
    <w:tbl>
      <w:tblPr>
        <w:tblpPr w:leftFromText="180" w:rightFromText="180" w:vertAnchor="text" w:horzAnchor="margin" w:tblpXSpec="center" w:tblpY="3"/>
        <w:tblW w:w="9782" w:type="dxa"/>
        <w:tblLook w:val="04A0"/>
      </w:tblPr>
      <w:tblGrid>
        <w:gridCol w:w="7876"/>
        <w:gridCol w:w="936"/>
        <w:gridCol w:w="970"/>
      </w:tblGrid>
      <w:tr w:rsidR="004C0D75" w:rsidRPr="004C0D75" w:rsidTr="004A36BA">
        <w:trPr>
          <w:trHeight w:val="489"/>
          <w:tblHeader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C0D75" w:rsidRPr="004C0D75" w:rsidTr="004A36BA">
        <w:trPr>
          <w:trHeight w:val="780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Общая кадастровая стоимость строений, помещений и сооружений, по которым предъявлен налог к уплате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181115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174163</w:t>
            </w:r>
          </w:p>
        </w:tc>
      </w:tr>
      <w:tr w:rsidR="004C0D75" w:rsidRPr="004C0D75" w:rsidTr="004A36BA">
        <w:trPr>
          <w:trHeight w:val="300"/>
        </w:trPr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Сумма налога, подлежащая уплате в бюджет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4C0D75" w:rsidRPr="004C0D75" w:rsidTr="004A36BA">
        <w:trPr>
          <w:trHeight w:val="525"/>
        </w:trPr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Сумма налога, не поступившая в бюджет в связи с предоставлением налогоплательщикам льгот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C0D75" w:rsidRPr="004C0D75" w:rsidTr="004A36BA">
        <w:trPr>
          <w:trHeight w:val="300"/>
        </w:trPr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75" w:rsidRPr="004C0D75" w:rsidTr="004A36BA">
        <w:trPr>
          <w:trHeight w:val="525"/>
        </w:trPr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льгот, установленных федеральным законодательством Российской Федерации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0D75" w:rsidRPr="004C0D75" w:rsidTr="004A36BA">
        <w:trPr>
          <w:trHeight w:val="1035"/>
        </w:trPr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льгот, установленных нормативными правовыми актами представительных органов местного самоуправления,в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D75" w:rsidRPr="004C0D75" w:rsidTr="004A36BA">
        <w:trPr>
          <w:trHeight w:val="525"/>
        </w:trPr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в связи с применением налогоплательщиками специальных налоговых режимов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4C0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4C0D75" w:rsidRPr="00EA10B0" w:rsidRDefault="004C0D75" w:rsidP="004C0D7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D75" w:rsidRDefault="004C0D75" w:rsidP="004C0D7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4C0D75">
        <w:rPr>
          <w:rFonts w:ascii="Times New Roman" w:hAnsi="Times New Roman" w:cs="Times New Roman"/>
          <w:b/>
          <w:sz w:val="24"/>
          <w:szCs w:val="24"/>
        </w:rPr>
        <w:t>Налог на имущество физических лиц (количество налогоплательщиков)</w:t>
      </w:r>
    </w:p>
    <w:p w:rsidR="00BE7C06" w:rsidRPr="00BE7C06" w:rsidRDefault="00BE7C06" w:rsidP="00BE7C06">
      <w:pPr>
        <w:tabs>
          <w:tab w:val="left" w:pos="7470"/>
        </w:tabs>
        <w:ind w:left="708"/>
        <w:rPr>
          <w:rFonts w:ascii="Times New Roman" w:hAnsi="Times New Roman" w:cs="Times New Roman"/>
          <w:sz w:val="22"/>
          <w:szCs w:val="22"/>
        </w:rPr>
      </w:pPr>
      <w:r>
        <w:rPr>
          <w:sz w:val="28"/>
          <w:szCs w:val="28"/>
        </w:rPr>
        <w:tab/>
      </w:r>
      <w:r w:rsidRPr="00BE7C06">
        <w:rPr>
          <w:rFonts w:ascii="Times New Roman" w:hAnsi="Times New Roman" w:cs="Times New Roman"/>
          <w:sz w:val="22"/>
          <w:szCs w:val="22"/>
        </w:rPr>
        <w:t>Таб.2</w:t>
      </w:r>
    </w:p>
    <w:tbl>
      <w:tblPr>
        <w:tblW w:w="9782" w:type="dxa"/>
        <w:tblInd w:w="-176" w:type="dxa"/>
        <w:tblLook w:val="04A0"/>
      </w:tblPr>
      <w:tblGrid>
        <w:gridCol w:w="5439"/>
        <w:gridCol w:w="1276"/>
        <w:gridCol w:w="708"/>
        <w:gridCol w:w="1276"/>
        <w:gridCol w:w="1083"/>
      </w:tblGrid>
      <w:tr w:rsidR="004C0D75" w:rsidRPr="00DE48F7" w:rsidTr="004A36BA">
        <w:trPr>
          <w:trHeight w:val="353"/>
          <w:tblHeader/>
        </w:trPr>
        <w:tc>
          <w:tcPr>
            <w:tcW w:w="5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C0D75" w:rsidRPr="00DE48F7" w:rsidTr="004A36BA">
        <w:trPr>
          <w:trHeight w:val="157"/>
          <w:tblHeader/>
        </w:trPr>
        <w:tc>
          <w:tcPr>
            <w:tcW w:w="5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0D75" w:rsidRPr="00DE48F7" w:rsidTr="004A36BA">
        <w:trPr>
          <w:trHeight w:val="525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0D75" w:rsidRPr="00DE48F7" w:rsidTr="004A36BA">
        <w:trPr>
          <w:trHeight w:val="3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75" w:rsidRPr="00DE48F7" w:rsidTr="004A36BA">
        <w:trPr>
          <w:trHeight w:val="5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которым исчислен налог к уплате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0D75" w:rsidRPr="00DE48F7" w:rsidTr="004A36BA">
        <w:trPr>
          <w:trHeight w:val="3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которым предоставлены налоговые льготы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D75" w:rsidRPr="00DE48F7" w:rsidTr="004A36BA">
        <w:trPr>
          <w:trHeight w:val="30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0D75" w:rsidRPr="00DE48F7" w:rsidTr="004A36BA">
        <w:trPr>
          <w:trHeight w:val="52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льготы, установленные федеральным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C0D75" w:rsidRPr="00DE48F7" w:rsidTr="004A36BA">
        <w:trPr>
          <w:trHeight w:val="1035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 xml:space="preserve">льготы, установленные нормативными правовыми актами представительных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240A53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240A53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0D75" w:rsidRPr="00DE48F7" w:rsidTr="004A36BA">
        <w:trPr>
          <w:trHeight w:val="780"/>
        </w:trPr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которым не исчислен налог к уплате в связи с применением налогоплательщиком специальных налоговых режимов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0D75" w:rsidRPr="004C0D75" w:rsidRDefault="004C0D75" w:rsidP="00DB2E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C0D75" w:rsidRDefault="004C0D75" w:rsidP="004C0D75">
      <w:pPr>
        <w:ind w:firstLine="720"/>
        <w:jc w:val="both"/>
        <w:rPr>
          <w:sz w:val="28"/>
          <w:szCs w:val="28"/>
        </w:rPr>
      </w:pPr>
    </w:p>
    <w:p w:rsidR="00BE7C06" w:rsidRPr="00EA10B0" w:rsidRDefault="00A14583" w:rsidP="005430B7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бъем налоговых расходов за 2019 год, согласно данным, предоставленным МРИ ФНС России №1 по Саратовской области, составил  </w:t>
      </w:r>
      <w:r w:rsidR="00122F9A">
        <w:rPr>
          <w:rFonts w:ascii="Times New Roman" w:hAnsi="Times New Roman" w:cs="Times New Roman"/>
          <w:sz w:val="24"/>
          <w:szCs w:val="24"/>
        </w:rPr>
        <w:t xml:space="preserve">293 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122F9A">
        <w:rPr>
          <w:rFonts w:ascii="Times New Roman" w:hAnsi="Times New Roman" w:cs="Times New Roman"/>
          <w:sz w:val="24"/>
          <w:szCs w:val="24"/>
        </w:rPr>
        <w:t>11</w:t>
      </w:r>
      <w:r w:rsidR="002A28A6" w:rsidRPr="00EA10B0">
        <w:rPr>
          <w:rFonts w:ascii="Times New Roman" w:hAnsi="Times New Roman" w:cs="Times New Roman"/>
          <w:sz w:val="24"/>
          <w:szCs w:val="24"/>
        </w:rPr>
        <w:t>,0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тыс. рублей больше, чем за 2018 год, количество </w:t>
      </w:r>
      <w:r w:rsidR="006563E9" w:rsidRPr="00EA10B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 w:rsidR="00122F9A">
        <w:rPr>
          <w:rFonts w:ascii="Times New Roman" w:hAnsi="Times New Roman" w:cs="Times New Roman"/>
          <w:sz w:val="24"/>
          <w:szCs w:val="24"/>
        </w:rPr>
        <w:t>319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22F9A">
        <w:rPr>
          <w:rFonts w:ascii="Times New Roman" w:hAnsi="Times New Roman" w:cs="Times New Roman"/>
          <w:sz w:val="24"/>
          <w:szCs w:val="24"/>
        </w:rPr>
        <w:t>15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больше, чем за 2018 год. Доля налоговых расходов в объеме налоговых и неналоговых доходов бюджета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="006563E9"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за 2019 год составила </w:t>
      </w:r>
      <w:r w:rsidR="0082794A">
        <w:rPr>
          <w:rFonts w:ascii="Times New Roman" w:hAnsi="Times New Roman" w:cs="Times New Roman"/>
          <w:sz w:val="24"/>
          <w:szCs w:val="24"/>
        </w:rPr>
        <w:t>7</w:t>
      </w:r>
      <w:r w:rsidR="00BF14B3" w:rsidRPr="00EA10B0">
        <w:rPr>
          <w:rFonts w:ascii="Times New Roman" w:hAnsi="Times New Roman" w:cs="Times New Roman"/>
          <w:sz w:val="24"/>
          <w:szCs w:val="24"/>
        </w:rPr>
        <w:t>% (</w:t>
      </w:r>
      <w:r w:rsidR="0082794A">
        <w:rPr>
          <w:rFonts w:ascii="Times New Roman" w:hAnsi="Times New Roman" w:cs="Times New Roman"/>
          <w:sz w:val="24"/>
          <w:szCs w:val="24"/>
        </w:rPr>
        <w:t>293</w:t>
      </w:r>
      <w:r w:rsidR="00BF14B3" w:rsidRPr="00EA10B0">
        <w:rPr>
          <w:rFonts w:ascii="Times New Roman" w:hAnsi="Times New Roman" w:cs="Times New Roman"/>
          <w:sz w:val="24"/>
          <w:szCs w:val="24"/>
        </w:rPr>
        <w:t>:</w:t>
      </w:r>
      <w:r w:rsidR="0082794A">
        <w:rPr>
          <w:rFonts w:ascii="Times New Roman" w:hAnsi="Times New Roman" w:cs="Times New Roman"/>
          <w:sz w:val="24"/>
          <w:szCs w:val="24"/>
        </w:rPr>
        <w:t>4183,3</w:t>
      </w:r>
      <w:r w:rsidR="00BF14B3" w:rsidRPr="00EA10B0">
        <w:rPr>
          <w:rFonts w:ascii="Times New Roman" w:hAnsi="Times New Roman" w:cs="Times New Roman"/>
          <w:sz w:val="24"/>
          <w:szCs w:val="24"/>
        </w:rPr>
        <w:t>).</w:t>
      </w:r>
      <w:r w:rsidR="00543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F14B3" w:rsidRPr="00EA10B0">
        <w:rPr>
          <w:rFonts w:ascii="Times New Roman" w:hAnsi="Times New Roman" w:cs="Times New Roman"/>
          <w:sz w:val="24"/>
          <w:szCs w:val="24"/>
        </w:rPr>
        <w:t>В отчетном году по сравнению с 2018 году востребованность льгот возросла, данный факт свидетельствует о вос</w:t>
      </w:r>
      <w:r w:rsidR="00BE7C06">
        <w:rPr>
          <w:rFonts w:ascii="Times New Roman" w:hAnsi="Times New Roman" w:cs="Times New Roman"/>
          <w:sz w:val="24"/>
          <w:szCs w:val="24"/>
        </w:rPr>
        <w:t>требованн</w:t>
      </w:r>
      <w:r w:rsidR="00BF14B3" w:rsidRPr="00EA10B0">
        <w:rPr>
          <w:rFonts w:ascii="Times New Roman" w:hAnsi="Times New Roman" w:cs="Times New Roman"/>
          <w:sz w:val="24"/>
          <w:szCs w:val="24"/>
        </w:rPr>
        <w:t>ости указанного налогового расхода.</w:t>
      </w:r>
    </w:p>
    <w:p w:rsidR="00537DB9" w:rsidRPr="00BE7C06" w:rsidRDefault="00BE7C06" w:rsidP="00BE7C06">
      <w:pPr>
        <w:tabs>
          <w:tab w:val="center" w:pos="4891"/>
          <w:tab w:val="left" w:pos="843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C6DC3">
        <w:rPr>
          <w:rFonts w:ascii="Times New Roman" w:hAnsi="Times New Roman" w:cs="Times New Roman"/>
          <w:b/>
          <w:sz w:val="24"/>
          <w:szCs w:val="24"/>
        </w:rPr>
        <w:t>Льгота по земельному</w:t>
      </w:r>
      <w:r w:rsidR="00537DB9" w:rsidRPr="00BE7C06">
        <w:rPr>
          <w:rFonts w:ascii="Times New Roman" w:hAnsi="Times New Roman" w:cs="Times New Roman"/>
          <w:b/>
          <w:sz w:val="24"/>
          <w:szCs w:val="24"/>
        </w:rPr>
        <w:t xml:space="preserve"> налог</w:t>
      </w:r>
      <w:r w:rsidR="004C6DC3">
        <w:rPr>
          <w:rFonts w:ascii="Times New Roman" w:hAnsi="Times New Roman" w:cs="Times New Roman"/>
          <w:b/>
          <w:sz w:val="24"/>
          <w:szCs w:val="24"/>
        </w:rPr>
        <w:t>у с физ.лиц</w:t>
      </w:r>
      <w:r w:rsidR="00537DB9" w:rsidRPr="00BE7C06">
        <w:rPr>
          <w:rFonts w:ascii="Times New Roman" w:hAnsi="Times New Roman" w:cs="Times New Roman"/>
          <w:b/>
          <w:sz w:val="24"/>
          <w:szCs w:val="24"/>
        </w:rPr>
        <w:t xml:space="preserve"> (тыс. руб.)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37DB9" w:rsidRPr="00537DB9" w:rsidRDefault="00BE7C06" w:rsidP="00BE7C06">
      <w:pPr>
        <w:tabs>
          <w:tab w:val="left" w:pos="772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Таблица1</w:t>
      </w:r>
    </w:p>
    <w:tbl>
      <w:tblPr>
        <w:tblW w:w="9371" w:type="dxa"/>
        <w:tblInd w:w="93" w:type="dxa"/>
        <w:tblLook w:val="04A0"/>
      </w:tblPr>
      <w:tblGrid>
        <w:gridCol w:w="5544"/>
        <w:gridCol w:w="1842"/>
        <w:gridCol w:w="1985"/>
      </w:tblGrid>
      <w:tr w:rsidR="00537DB9" w:rsidRPr="00537DB9" w:rsidTr="00537DB9">
        <w:trPr>
          <w:trHeight w:val="489"/>
          <w:tblHeader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37DB9" w:rsidRPr="00537DB9" w:rsidTr="00537DB9">
        <w:trPr>
          <w:trHeight w:val="78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7C5B2F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1710947</w:t>
            </w:r>
          </w:p>
        </w:tc>
      </w:tr>
      <w:tr w:rsidR="00537DB9" w:rsidRPr="00537DB9" w:rsidTr="00537D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Сумма налога, подлежащая уплате в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DC02CD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B2F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537DB9" w:rsidRPr="00537DB9" w:rsidTr="00537DB9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Сумма налога, не поступившая в бюджет в связи с предоставлением налогоплательщикам льгот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B9" w:rsidRPr="00537DB9" w:rsidRDefault="007C5B2F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7C5B2F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37DB9" w:rsidRPr="00537DB9" w:rsidTr="00537D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B9" w:rsidRPr="00537DB9" w:rsidTr="00537DB9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льгот, установленных федеральным законодательством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B9" w:rsidRPr="00537DB9" w:rsidRDefault="007C5B2F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7C5B2F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37DB9" w:rsidRPr="00537DB9" w:rsidTr="00537DB9">
        <w:trPr>
          <w:trHeight w:val="103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льгот, установленных нормативными правовыми актами представительных органов местного самоуправления,</w:t>
            </w:r>
            <w:r w:rsidR="007C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B9" w:rsidRPr="00537DB9" w:rsidRDefault="007C5B2F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7DB9" w:rsidRPr="00537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7C5B2F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537DB9" w:rsidRPr="00537DB9" w:rsidRDefault="00537DB9" w:rsidP="00537D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7DB9" w:rsidRPr="00BE7C06" w:rsidRDefault="00537DB9" w:rsidP="00537DB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06">
        <w:rPr>
          <w:rFonts w:ascii="Times New Roman" w:hAnsi="Times New Roman" w:cs="Times New Roman"/>
          <w:b/>
          <w:sz w:val="24"/>
          <w:szCs w:val="24"/>
        </w:rPr>
        <w:t>Земельный налог (количество налогоплательщиков)</w:t>
      </w:r>
    </w:p>
    <w:p w:rsidR="00537DB9" w:rsidRPr="00BE7C06" w:rsidRDefault="00BE7C06" w:rsidP="00BE7C06">
      <w:pPr>
        <w:tabs>
          <w:tab w:val="left" w:pos="819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7C06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513" w:type="dxa"/>
        <w:tblInd w:w="93" w:type="dxa"/>
        <w:tblLook w:val="04A0"/>
      </w:tblPr>
      <w:tblGrid>
        <w:gridCol w:w="5544"/>
        <w:gridCol w:w="1417"/>
        <w:gridCol w:w="709"/>
        <w:gridCol w:w="1134"/>
        <w:gridCol w:w="709"/>
      </w:tblGrid>
      <w:tr w:rsidR="00537DB9" w:rsidRPr="00537DB9" w:rsidTr="004C6DC3">
        <w:trPr>
          <w:trHeight w:val="353"/>
          <w:tblHeader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37DB9" w:rsidRPr="00537DB9" w:rsidTr="004C6DC3">
        <w:trPr>
          <w:trHeight w:val="157"/>
          <w:tblHeader/>
        </w:trPr>
        <w:tc>
          <w:tcPr>
            <w:tcW w:w="5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7DB9" w:rsidRPr="00537DB9" w:rsidTr="004C6DC3">
        <w:trPr>
          <w:trHeight w:val="52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37DB9" w:rsidRPr="00537DB9" w:rsidTr="004C6DC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B9" w:rsidRPr="00537DB9" w:rsidTr="004C6DC3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которым исчислен налог к уплате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37DB9" w:rsidRPr="00537DB9" w:rsidTr="004C6DC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которым предоставлены налоговые льготы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6A0351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7DB9" w:rsidRPr="00537DB9" w:rsidTr="004C6DC3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7DB9" w:rsidRPr="00537DB9" w:rsidTr="004C6DC3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льготы, установленные федеральным законодательством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537DB9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CF740C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7DB9" w:rsidRPr="00537DB9" w:rsidTr="004C6DC3">
        <w:trPr>
          <w:trHeight w:val="103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537DB9" w:rsidP="00C4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B9">
              <w:rPr>
                <w:rFonts w:ascii="Times New Roman" w:hAnsi="Times New Roman" w:cs="Times New Roman"/>
                <w:sz w:val="24"/>
                <w:szCs w:val="24"/>
              </w:rPr>
              <w:t xml:space="preserve">льготы, установленные нормативными правовыми актами представительных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B9" w:rsidRPr="00537DB9" w:rsidRDefault="006A0351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DB9" w:rsidRPr="00537DB9" w:rsidRDefault="00CF740C" w:rsidP="00C4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6DC3" w:rsidRPr="00EA10B0" w:rsidRDefault="004C6DC3" w:rsidP="005430B7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2019 год составила </w:t>
      </w:r>
      <w:r>
        <w:rPr>
          <w:rFonts w:ascii="Times New Roman" w:hAnsi="Times New Roman" w:cs="Times New Roman"/>
          <w:sz w:val="24"/>
          <w:szCs w:val="24"/>
        </w:rPr>
        <w:t>195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 w:cs="Times New Roman"/>
          <w:sz w:val="24"/>
          <w:szCs w:val="24"/>
        </w:rPr>
        <w:t>2 тыс. больше</w:t>
      </w:r>
      <w:r w:rsidR="008B1337">
        <w:rPr>
          <w:rFonts w:ascii="Times New Roman" w:hAnsi="Times New Roman" w:cs="Times New Roman"/>
          <w:sz w:val="24"/>
          <w:szCs w:val="24"/>
        </w:rPr>
        <w:t>, чем за 2018 год</w:t>
      </w:r>
      <w:r w:rsidR="00232C4C">
        <w:rPr>
          <w:rFonts w:ascii="Times New Roman" w:hAnsi="Times New Roman" w:cs="Times New Roman"/>
          <w:sz w:val="24"/>
          <w:szCs w:val="24"/>
        </w:rPr>
        <w:t>,</w:t>
      </w:r>
      <w:r w:rsidR="00232C4C" w:rsidRPr="00EA10B0">
        <w:rPr>
          <w:rFonts w:ascii="Times New Roman" w:hAnsi="Times New Roman" w:cs="Times New Roman"/>
          <w:sz w:val="24"/>
          <w:szCs w:val="24"/>
        </w:rPr>
        <w:t xml:space="preserve"> количество налогоплательщиков, воспользовавшихся льготой </w:t>
      </w:r>
      <w:r w:rsidR="008B1337">
        <w:rPr>
          <w:rFonts w:ascii="Times New Roman" w:hAnsi="Times New Roman" w:cs="Times New Roman"/>
          <w:sz w:val="24"/>
          <w:szCs w:val="24"/>
        </w:rPr>
        <w:t>703</w:t>
      </w:r>
      <w:r w:rsidR="00232C4C"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8B1337">
        <w:rPr>
          <w:rFonts w:ascii="Times New Roman" w:hAnsi="Times New Roman" w:cs="Times New Roman"/>
          <w:sz w:val="24"/>
          <w:szCs w:val="24"/>
        </w:rPr>
        <w:t>6</w:t>
      </w:r>
      <w:r w:rsidR="00232C4C" w:rsidRPr="00EA10B0">
        <w:rPr>
          <w:rFonts w:ascii="Times New Roman" w:hAnsi="Times New Roman" w:cs="Times New Roman"/>
          <w:sz w:val="24"/>
          <w:szCs w:val="24"/>
        </w:rPr>
        <w:t xml:space="preserve"> больше, чем за 2018 год. Доля налоговых расходов в объеме налоговых и неналоговых доходов бюджета </w:t>
      </w:r>
      <w:r w:rsidR="00232C4C">
        <w:rPr>
          <w:rFonts w:ascii="Times New Roman" w:hAnsi="Times New Roman" w:cs="Times New Roman"/>
          <w:sz w:val="24"/>
          <w:szCs w:val="24"/>
        </w:rPr>
        <w:t>Терновского</w:t>
      </w:r>
      <w:r w:rsidR="00232C4C"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за 2019 год составила </w:t>
      </w:r>
      <w:r w:rsidR="008B1337">
        <w:rPr>
          <w:rFonts w:ascii="Times New Roman" w:hAnsi="Times New Roman" w:cs="Times New Roman"/>
          <w:sz w:val="24"/>
          <w:szCs w:val="24"/>
        </w:rPr>
        <w:t>4,6</w:t>
      </w:r>
      <w:r w:rsidR="00232C4C" w:rsidRPr="00EA10B0">
        <w:rPr>
          <w:rFonts w:ascii="Times New Roman" w:hAnsi="Times New Roman" w:cs="Times New Roman"/>
          <w:sz w:val="24"/>
          <w:szCs w:val="24"/>
        </w:rPr>
        <w:t>% (</w:t>
      </w:r>
      <w:r w:rsidR="008B1337">
        <w:rPr>
          <w:rFonts w:ascii="Times New Roman" w:hAnsi="Times New Roman" w:cs="Times New Roman"/>
          <w:sz w:val="24"/>
          <w:szCs w:val="24"/>
        </w:rPr>
        <w:t>195</w:t>
      </w:r>
      <w:r w:rsidR="00232C4C" w:rsidRPr="00EA10B0">
        <w:rPr>
          <w:rFonts w:ascii="Times New Roman" w:hAnsi="Times New Roman" w:cs="Times New Roman"/>
          <w:sz w:val="24"/>
          <w:szCs w:val="24"/>
        </w:rPr>
        <w:t>:</w:t>
      </w:r>
      <w:r w:rsidR="00232C4C">
        <w:rPr>
          <w:rFonts w:ascii="Times New Roman" w:hAnsi="Times New Roman" w:cs="Times New Roman"/>
          <w:sz w:val="24"/>
          <w:szCs w:val="24"/>
        </w:rPr>
        <w:t>4183,3</w:t>
      </w:r>
      <w:r w:rsidR="00232C4C" w:rsidRPr="00EA10B0">
        <w:rPr>
          <w:rFonts w:ascii="Times New Roman" w:hAnsi="Times New Roman" w:cs="Times New Roman"/>
          <w:sz w:val="24"/>
          <w:szCs w:val="24"/>
        </w:rPr>
        <w:t>).</w:t>
      </w:r>
      <w:r w:rsidR="00232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43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A10B0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10B0">
        <w:rPr>
          <w:rFonts w:ascii="Times New Roman" w:hAnsi="Times New Roman" w:cs="Times New Roman"/>
          <w:sz w:val="24"/>
          <w:szCs w:val="24"/>
        </w:rPr>
        <w:tab/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</w:p>
    <w:p w:rsidR="00C905C0" w:rsidRPr="00BE7C06" w:rsidRDefault="00C905C0" w:rsidP="00C905C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06">
        <w:rPr>
          <w:rFonts w:ascii="Times New Roman" w:hAnsi="Times New Roman" w:cs="Times New Roman"/>
          <w:b/>
          <w:sz w:val="24"/>
          <w:szCs w:val="24"/>
        </w:rPr>
        <w:t>Земельный налог (налогоплательщики – юридические лица)</w:t>
      </w:r>
    </w:p>
    <w:p w:rsidR="00C905C0" w:rsidRPr="00BE7C06" w:rsidRDefault="00BE7C06" w:rsidP="00BE7C06">
      <w:pPr>
        <w:tabs>
          <w:tab w:val="left" w:pos="79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7C06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C0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371" w:type="dxa"/>
        <w:tblInd w:w="93" w:type="dxa"/>
        <w:tblLook w:val="04A0"/>
      </w:tblPr>
      <w:tblGrid>
        <w:gridCol w:w="5962"/>
        <w:gridCol w:w="1991"/>
        <w:gridCol w:w="1418"/>
      </w:tblGrid>
      <w:tr w:rsidR="00C905C0" w:rsidRPr="00C905C0" w:rsidTr="0010755B">
        <w:trPr>
          <w:trHeight w:val="353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905C0" w:rsidRPr="00C905C0" w:rsidTr="0010755B">
        <w:trPr>
          <w:trHeight w:val="525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единиц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4308E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C0" w:rsidRPr="00C905C0" w:rsidTr="0010755B">
        <w:trPr>
          <w:trHeight w:val="52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которыми исчислен налог и не применяющих налоговые льготы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применяющих налоговые льготы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C0" w:rsidRPr="00C905C0" w:rsidTr="0010755B">
        <w:trPr>
          <w:trHeight w:val="52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льготы, установленные ст.395 НК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5C0" w:rsidRPr="00C905C0" w:rsidTr="0010755B">
        <w:trPr>
          <w:trHeight w:val="1035"/>
        </w:trPr>
        <w:tc>
          <w:tcPr>
            <w:tcW w:w="5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льготы, установленные нормативными правовыми актами представительных органов местного самоуправления 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5C0" w:rsidRPr="00C905C0" w:rsidTr="0010755B">
        <w:trPr>
          <w:trHeight w:val="525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5C0" w:rsidRPr="00C905C0" w:rsidTr="0010755B">
        <w:trPr>
          <w:trHeight w:val="78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 отношении которых налогоплательщиками исчислен земельный налог к уплате, единиц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Налоговая база (кадастровая стоимость) (тыс. руб.)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21637</w:t>
            </w: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Налоговая база (кадастровая стоимость с учетом льгот) (тыс. руб.)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21637</w:t>
            </w: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Сумма налога, подлежащая уплате в бюджет (тыс. руб.)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5C0" w:rsidRPr="00C905C0" w:rsidTr="0010755B">
        <w:trPr>
          <w:trHeight w:val="52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Сумма налога, не поступившая в бюджет в связи с предоставлением налогоплательщикам льгот по налогу (тыс. руб.)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C0" w:rsidRPr="00C905C0" w:rsidTr="0010755B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льгот, установленных ст.395 НК РФ (тыс. руб.)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5C0" w:rsidRPr="00C905C0" w:rsidTr="0010755B">
        <w:trPr>
          <w:trHeight w:val="103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C905C0" w:rsidP="0069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C0">
              <w:rPr>
                <w:rFonts w:ascii="Times New Roman" w:hAnsi="Times New Roman" w:cs="Times New Roman"/>
                <w:sz w:val="24"/>
                <w:szCs w:val="24"/>
              </w:rPr>
              <w:t>льгот, установленных нормативными правовыми актами представительных органов муниципальных образований (тыс. руб.)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5C0" w:rsidRPr="00C905C0" w:rsidRDefault="00094AB8" w:rsidP="0069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</w:tbl>
    <w:p w:rsidR="00537DB9" w:rsidRDefault="00537DB9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2951" w:rsidRPr="00F22951" w:rsidRDefault="00F22951" w:rsidP="00F229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51">
        <w:rPr>
          <w:rFonts w:ascii="Times New Roman" w:hAnsi="Times New Roman" w:cs="Times New Roman"/>
          <w:sz w:val="24"/>
          <w:szCs w:val="24"/>
        </w:rPr>
        <w:t xml:space="preserve">Оценка технической, социальной, бюджетной, экономической эффективности налоговых льгот за 2019 год по земельному налогу по </w:t>
      </w:r>
      <w:r w:rsidRPr="00F22951">
        <w:rPr>
          <w:rFonts w:ascii="Times New Roman" w:hAnsi="Times New Roman" w:cs="Times New Roman"/>
          <w:sz w:val="24"/>
          <w:szCs w:val="24"/>
          <w:u w:val="single"/>
        </w:rPr>
        <w:t>юридическим лицам</w:t>
      </w:r>
      <w:r w:rsidRPr="00F22951">
        <w:rPr>
          <w:rFonts w:ascii="Times New Roman" w:hAnsi="Times New Roman" w:cs="Times New Roman"/>
          <w:sz w:val="24"/>
          <w:szCs w:val="24"/>
        </w:rPr>
        <w:t>:</w:t>
      </w:r>
    </w:p>
    <w:p w:rsidR="00F22951" w:rsidRPr="00F22951" w:rsidRDefault="00F22951" w:rsidP="00F229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51">
        <w:rPr>
          <w:rFonts w:ascii="Times New Roman" w:hAnsi="Times New Roman" w:cs="Times New Roman"/>
          <w:sz w:val="24"/>
          <w:szCs w:val="24"/>
        </w:rPr>
        <w:t xml:space="preserve">Количество налогоплательщиков земельного налога, учтенных в базе данных налогового органа – </w:t>
      </w:r>
      <w:r w:rsidR="00D81BF3">
        <w:rPr>
          <w:rFonts w:ascii="Times New Roman" w:hAnsi="Times New Roman" w:cs="Times New Roman"/>
          <w:sz w:val="24"/>
          <w:szCs w:val="24"/>
        </w:rPr>
        <w:t>7</w:t>
      </w:r>
      <w:r w:rsidRPr="00F22951">
        <w:rPr>
          <w:rFonts w:ascii="Times New Roman" w:hAnsi="Times New Roman" w:cs="Times New Roman"/>
          <w:sz w:val="24"/>
          <w:szCs w:val="24"/>
        </w:rPr>
        <w:t xml:space="preserve">, </w:t>
      </w:r>
      <w:r w:rsidRPr="00A6587F">
        <w:rPr>
          <w:rFonts w:ascii="Times New Roman" w:hAnsi="Times New Roman" w:cs="Times New Roman"/>
          <w:sz w:val="24"/>
          <w:szCs w:val="24"/>
        </w:rPr>
        <w:t>количество налогоплательщиков, которые воспользовались налоговой льготой</w:t>
      </w:r>
      <w:r w:rsidR="005430B7" w:rsidRPr="00A6587F">
        <w:rPr>
          <w:rFonts w:ascii="Times New Roman" w:hAnsi="Times New Roman" w:cs="Times New Roman"/>
          <w:sz w:val="24"/>
          <w:szCs w:val="24"/>
        </w:rPr>
        <w:t>-3</w:t>
      </w:r>
      <w:r w:rsidRPr="00A6587F">
        <w:rPr>
          <w:rFonts w:ascii="Times New Roman" w:hAnsi="Times New Roman" w:cs="Times New Roman"/>
          <w:sz w:val="24"/>
          <w:szCs w:val="24"/>
        </w:rPr>
        <w:t>. Уменьшение суммы налоговых льгот по земельному налогу по юридическим лицам в 2019 году по с</w:t>
      </w:r>
      <w:r w:rsidR="00A6587F">
        <w:rPr>
          <w:rFonts w:ascii="Times New Roman" w:hAnsi="Times New Roman" w:cs="Times New Roman"/>
          <w:sz w:val="24"/>
          <w:szCs w:val="24"/>
        </w:rPr>
        <w:t>равнению с 2018 годом составило0,7</w:t>
      </w:r>
      <w:r w:rsidR="00A6587F" w:rsidRPr="00A6587F">
        <w:rPr>
          <w:rFonts w:ascii="Times New Roman" w:hAnsi="Times New Roman" w:cs="Times New Roman"/>
          <w:sz w:val="24"/>
          <w:szCs w:val="24"/>
        </w:rPr>
        <w:t> %, что в сумме составило 19 612</w:t>
      </w:r>
      <w:r w:rsidRPr="00A6587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81BF3" w:rsidRPr="00A6587F">
        <w:rPr>
          <w:rFonts w:ascii="Times New Roman" w:hAnsi="Times New Roman" w:cs="Times New Roman"/>
          <w:sz w:val="24"/>
          <w:szCs w:val="24"/>
        </w:rPr>
        <w:t xml:space="preserve"> </w:t>
      </w:r>
      <w:r w:rsidRPr="00A6587F">
        <w:rPr>
          <w:rFonts w:ascii="Times New Roman" w:hAnsi="Times New Roman" w:cs="Times New Roman"/>
          <w:sz w:val="24"/>
          <w:szCs w:val="24"/>
        </w:rPr>
        <w:t>Изменение показателей по земельному налогу юридиче</w:t>
      </w:r>
      <w:r w:rsidR="004A36BA" w:rsidRPr="00A6587F">
        <w:rPr>
          <w:rFonts w:ascii="Times New Roman" w:hAnsi="Times New Roman" w:cs="Times New Roman"/>
          <w:sz w:val="24"/>
          <w:szCs w:val="24"/>
        </w:rPr>
        <w:t>ских лиц представлено в табл. 3</w:t>
      </w:r>
    </w:p>
    <w:p w:rsidR="00F22951" w:rsidRPr="00F22951" w:rsidRDefault="00F2295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10B0" w:rsidRPr="00EA10B0" w:rsidRDefault="00EA10B0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="00E714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85B9B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E7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r w:rsidR="00585B9B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="00E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Балашовского района Саратовской области основные средства, в соответствии с приоритетными направлениями развития экономики </w:t>
            </w:r>
            <w:r w:rsidR="00585B9B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Балашовского района в размере не менее 400,0 млн. руб, на срок окупаемости инвестиционного проекта, предусмотренный проектной документацией, но не более чем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тыс.руб.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585B9B">
        <w:rPr>
          <w:rFonts w:ascii="Times New Roman" w:hAnsi="Times New Roman" w:cs="Times New Roman"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посредством роста показателей деятельности промышленного производства и инвестиционной привлекательности. По итогам 2019 года льгота не востребована. Стимулирующие налоговые расходы не оказывают отрицательного влияния на показатели достижения целей социально-экономической развития </w:t>
      </w:r>
      <w:r w:rsidR="00114FE0">
        <w:rPr>
          <w:rFonts w:ascii="Times New Roman" w:hAnsi="Times New Roman" w:cs="Times New Roman"/>
          <w:sz w:val="24"/>
          <w:szCs w:val="24"/>
        </w:rPr>
        <w:t>поселения</w:t>
      </w:r>
      <w:bookmarkStart w:id="0" w:name="_GoBack"/>
      <w:bookmarkEnd w:id="0"/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повышение конкурентоспособности экономики </w:t>
      </w:r>
      <w:r w:rsidR="00585B9B">
        <w:rPr>
          <w:rFonts w:ascii="Times New Roman" w:hAnsi="Times New Roman" w:cs="Times New Roman"/>
          <w:b/>
          <w:sz w:val="24"/>
          <w:szCs w:val="24"/>
        </w:rPr>
        <w:t>Терновского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83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0479D"/>
    <w:rsid w:val="00094AB8"/>
    <w:rsid w:val="0010755B"/>
    <w:rsid w:val="00114FE0"/>
    <w:rsid w:val="00122F9A"/>
    <w:rsid w:val="00232C4C"/>
    <w:rsid w:val="00240A53"/>
    <w:rsid w:val="00253D7C"/>
    <w:rsid w:val="002A28A6"/>
    <w:rsid w:val="003021A8"/>
    <w:rsid w:val="0034566D"/>
    <w:rsid w:val="004308E8"/>
    <w:rsid w:val="004A36BA"/>
    <w:rsid w:val="004C0D75"/>
    <w:rsid w:val="004C6DC3"/>
    <w:rsid w:val="004C7E16"/>
    <w:rsid w:val="00537DB9"/>
    <w:rsid w:val="005430B7"/>
    <w:rsid w:val="00585B9B"/>
    <w:rsid w:val="005861D5"/>
    <w:rsid w:val="00596F30"/>
    <w:rsid w:val="006563E9"/>
    <w:rsid w:val="006A0351"/>
    <w:rsid w:val="006C2A52"/>
    <w:rsid w:val="006C4490"/>
    <w:rsid w:val="007117AD"/>
    <w:rsid w:val="00762752"/>
    <w:rsid w:val="007C5B2F"/>
    <w:rsid w:val="007D23B3"/>
    <w:rsid w:val="0082794A"/>
    <w:rsid w:val="008314BA"/>
    <w:rsid w:val="00837CDC"/>
    <w:rsid w:val="00896333"/>
    <w:rsid w:val="008A2F19"/>
    <w:rsid w:val="008B1337"/>
    <w:rsid w:val="009374FD"/>
    <w:rsid w:val="00987C8C"/>
    <w:rsid w:val="009D2BCB"/>
    <w:rsid w:val="00A14583"/>
    <w:rsid w:val="00A45CBC"/>
    <w:rsid w:val="00A6587F"/>
    <w:rsid w:val="00AE62F3"/>
    <w:rsid w:val="00B650F9"/>
    <w:rsid w:val="00BA4FA1"/>
    <w:rsid w:val="00BE7C06"/>
    <w:rsid w:val="00BF14B3"/>
    <w:rsid w:val="00C86C1E"/>
    <w:rsid w:val="00C905C0"/>
    <w:rsid w:val="00CE6B2A"/>
    <w:rsid w:val="00CF740C"/>
    <w:rsid w:val="00D35F9B"/>
    <w:rsid w:val="00D81BF3"/>
    <w:rsid w:val="00D922DD"/>
    <w:rsid w:val="00DC02CD"/>
    <w:rsid w:val="00E24FBA"/>
    <w:rsid w:val="00E52907"/>
    <w:rsid w:val="00E71452"/>
    <w:rsid w:val="00EA10B0"/>
    <w:rsid w:val="00EC20EA"/>
    <w:rsid w:val="00F127B1"/>
    <w:rsid w:val="00F22951"/>
    <w:rsid w:val="00F2402D"/>
    <w:rsid w:val="00F50191"/>
    <w:rsid w:val="00FB413B"/>
    <w:rsid w:val="00FB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rsid w:val="00537D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9C2232-60A0-4A04-ACD0-184F6BEE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2020-12-01T11:17:00Z</cp:lastPrinted>
  <dcterms:created xsi:type="dcterms:W3CDTF">2020-12-14T07:37:00Z</dcterms:created>
  <dcterms:modified xsi:type="dcterms:W3CDTF">2020-12-14T07:37:00Z</dcterms:modified>
</cp:coreProperties>
</file>